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საქართველოს მთავრობის</w:t>
      </w: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დადგენილება</w:t>
      </w: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N 349     2010 წლის 16 ნოემბერი    ქ. თბილისი</w:t>
      </w:r>
    </w:p>
    <w:p w:rsidR="00275AEB" w:rsidRDefault="00275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both"/>
        <w:rPr>
          <w:rFonts w:ascii="Sylfaen" w:hAnsi="Sylfaen" w:cs="Sylfaen"/>
          <w:noProof/>
          <w:lang w:eastAsia="x-none"/>
        </w:rPr>
      </w:pP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hAnsi="Sylfaen" w:cs="Sylfaen"/>
          <w:b/>
          <w:bCs/>
          <w:noProof/>
          <w:sz w:val="32"/>
          <w:szCs w:val="32"/>
          <w:lang w:eastAsia="x-none"/>
        </w:rPr>
        <w:t xml:space="preserve"> 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ფარმაცევტული წარმოების საერთაშორისო, რეგიონული </w:t>
      </w: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 და ნაციონალური </w:t>
      </w:r>
      <w:r>
        <w:rPr>
          <w:rFonts w:ascii="Sylfaen" w:hAnsi="Sylfaen" w:cs="Sylfaen"/>
          <w:noProof/>
          <w:sz w:val="32"/>
          <w:szCs w:val="32"/>
          <w:lang w:eastAsia="x-none"/>
        </w:rPr>
        <w:t>GMP</w:t>
      </w:r>
      <w:r>
        <w:rPr>
          <w:rFonts w:ascii="Sylfaen" w:hAnsi="Sylfaen" w:cs="Sylfaen"/>
          <w:b/>
          <w:bCs/>
          <w:noProof/>
          <w:sz w:val="32"/>
          <w:szCs w:val="32"/>
          <w:lang w:eastAsia="x-none"/>
        </w:rPr>
        <w:t>-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ის (კარგი საწარმოო პრაქტიკის) </w:t>
      </w: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 სტანდარტების ნუსხის აღიარების შესახებ</w:t>
      </w:r>
    </w:p>
    <w:p w:rsidR="00275AEB" w:rsidRDefault="00275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center"/>
        <w:rPr>
          <w:rFonts w:ascii="Sylfaen" w:hAnsi="Sylfaen" w:cs="Sylfaen"/>
          <w:b/>
          <w:bCs/>
          <w:noProof/>
          <w:sz w:val="30"/>
          <w:szCs w:val="30"/>
          <w:lang w:eastAsia="x-none"/>
        </w:rPr>
      </w:pPr>
    </w:p>
    <w:p w:rsidR="00275AEB" w:rsidRDefault="002C292C">
      <w:pPr>
        <w:tabs>
          <w:tab w:val="left" w:pos="14"/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60" w:lineRule="atLeast"/>
        <w:ind w:left="14" w:right="179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ab/>
        <w:t xml:space="preserve"> 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მუხლი 1.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,,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წამლისა და ფარმაცევტული საქმიანობის შე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softHyphen/>
        <w:t>სა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softHyphen/>
        <w:t>ხებ“ საქართველოს კანონის მე-12 მუხლის მე-4 პუნქტის შე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softHyphen/>
        <w:t>საბამისად განისაზღვროს საერთაშორისო, რეგიონული და ნაციონალური GMGMP-ის (კარგი საწარმოო პრაქტიკის) სტანდარტების ნუსხა (დანართის მიხედვით), რომელსაც აღიარებს საქართველო.</w:t>
      </w:r>
    </w:p>
    <w:p w:rsidR="00275AEB" w:rsidRDefault="002C29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მუხლი 2.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ფარმაცევტულ საწარმოებს უფლება აქვთ, ნებაყოფლობით დანერგონ და მოახდინონ ამ დადგენილებით აღიარებული საერთაშორისო, რეგიონული და ნაციონალური GMP-ის რომელიმე სტანდარტზე გადასვლა მისი სავალდებულოდ ამოქმედების დრომდე, 2018 წლის 1 იანვრამდე.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(25.12.2015 N654)</w:t>
      </w:r>
    </w:p>
    <w:p w:rsidR="00275AEB" w:rsidRDefault="002C292C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მუხლი 3.</w:t>
      </w:r>
      <w:r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დადგენილება ამოქმედდეს გამოქვეყნებისთანავე.</w:t>
      </w:r>
    </w:p>
    <w:p w:rsidR="00275AEB" w:rsidRDefault="00275AEB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</w:p>
    <w:p w:rsidR="00275AEB" w:rsidRDefault="002C292C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both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ab/>
        <w:t xml:space="preserve"> 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პრემიერ-მინისტრი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ab/>
        <w:t xml:space="preserve">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eastAsia="x-none"/>
        </w:rPr>
        <w:t>ნიკა გილაური</w:t>
      </w: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</w:t>
      </w:r>
    </w:p>
    <w:p w:rsidR="00275AEB" w:rsidRDefault="00275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jc w:val="right"/>
        <w:rPr>
          <w:rFonts w:ascii="Sylfaen" w:hAnsi="Sylfaen" w:cs="Sylfaen"/>
          <w:noProof/>
          <w:sz w:val="24"/>
          <w:szCs w:val="24"/>
          <w:lang w:eastAsia="x-none"/>
        </w:rPr>
      </w:pPr>
    </w:p>
    <w:p w:rsidR="00275AEB" w:rsidRDefault="002C292C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right"/>
        <w:rPr>
          <w:rFonts w:ascii="Sylfae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          </w:t>
      </w:r>
    </w:p>
    <w:p w:rsidR="00275AEB" w:rsidRDefault="002C292C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right"/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</w:pPr>
      <w:r>
        <w:rPr>
          <w:rFonts w:ascii="Sylfaen" w:hAnsi="Sylfaen" w:cs="Sylfaen"/>
          <w:b/>
          <w:bCs/>
          <w:noProof/>
          <w:sz w:val="24"/>
          <w:szCs w:val="24"/>
          <w:lang w:eastAsia="x-none"/>
        </w:rPr>
        <w:t xml:space="preserve">                         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დანართი</w:t>
      </w:r>
    </w:p>
    <w:p w:rsidR="008D2E7F" w:rsidRPr="008D2E7F" w:rsidRDefault="008D2E7F" w:rsidP="008D2E7F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საერთაშორისო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,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რეგიონული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და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ნაციონალური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r w:rsidRPr="008D2E7F">
        <w:rPr>
          <w:rFonts w:ascii="Sylfaen" w:hAnsi="Sylfaen" w:cs="Sylfaen"/>
          <w:sz w:val="24"/>
          <w:szCs w:val="24"/>
          <w:lang w:eastAsia="x-none"/>
        </w:rPr>
        <w:t>GMP</w:t>
      </w:r>
      <w:r w:rsidRPr="008D2E7F">
        <w:rPr>
          <w:rFonts w:ascii="Sylfaen" w:hAnsi="Sylfaen" w:cs="Sylfaen"/>
          <w:b/>
          <w:bCs/>
          <w:sz w:val="24"/>
          <w:szCs w:val="24"/>
          <w:lang w:eastAsia="x-none"/>
        </w:rPr>
        <w:t>-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ის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(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კარგი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საწარმოო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პრაქტიკის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)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სტანდარტების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ნუსხა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,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რომელთაც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აღიარებს</w:t>
      </w:r>
      <w:proofErr w:type="spellEnd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>საქართველო</w:t>
      </w:r>
      <w:proofErr w:type="spellEnd"/>
    </w:p>
    <w:p w:rsidR="008D2E7F" w:rsidRP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8D2E7F">
        <w:rPr>
          <w:rFonts w:ascii="Sylfaen" w:eastAsia="Times New Roman" w:hAnsi="Sylfaen" w:cs="Sylfaen"/>
          <w:b/>
          <w:bCs/>
          <w:sz w:val="24"/>
          <w:szCs w:val="24"/>
          <w:lang w:eastAsia="x-none"/>
        </w:rPr>
        <w:tab/>
        <w:t xml:space="preserve"> </w:t>
      </w:r>
      <w:r w:rsidRPr="008D2E7F">
        <w:rPr>
          <w:rFonts w:ascii="Sylfaen" w:hAnsi="Sylfaen" w:cs="Sylfaen"/>
          <w:sz w:val="24"/>
          <w:szCs w:val="24"/>
          <w:lang w:eastAsia="x-none"/>
        </w:rPr>
        <w:t xml:space="preserve">1.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ჯანმრთელობის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მსოფლიო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ორგანიზაციის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მიერ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რე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softHyphen/>
        <w:t>კომენდებული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 GMP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სტანდარტი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(WHO GMP).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  <w:t xml:space="preserve">  </w:t>
      </w:r>
    </w:p>
    <w:p w:rsidR="008D2E7F" w:rsidRP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 w:firstLine="720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2.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ევროკომისიის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მიერ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აღიარებული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GMP-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სტანდარტი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(European Commission – EC GMP).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  <w:t xml:space="preserve">   </w:t>
      </w:r>
    </w:p>
    <w:p w:rsid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3.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ამერიკის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შეერთებული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შტატების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საკვებისა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და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წამ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softHyphen/>
        <w:t>ლების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ადმინისტრაციის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მიერ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აღიარებული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GMP-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სტანდარტი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(Food and Drug Administration – FDA Current GMP).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</w:p>
    <w:p w:rsid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 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  <w:t xml:space="preserve">4.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ფარმაცევტულ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ინსპექციათა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თანამშრომლობის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მიერ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აღიარებული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GMP-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სტანდარტი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(Pharmaceutical Inspection Co-operation Scheme – PIC/S GMP).</w:t>
      </w: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</w:r>
    </w:p>
    <w:p w:rsidR="008D2E7F" w:rsidRP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  <w:t xml:space="preserve">     </w:t>
      </w:r>
    </w:p>
    <w:p w:rsidR="008D2E7F" w:rsidRPr="008D2E7F" w:rsidRDefault="008D2E7F" w:rsidP="008D2E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60" w:lineRule="atLeast"/>
        <w:ind w:right="17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ab/>
        <w:t xml:space="preserve">5.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ჰარმონიზაციის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საერთაშორისო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კონფერენციის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მიერ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აღიარებული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GMP-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ის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სტანდარტი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(International Conference on </w:t>
      </w:r>
      <w:proofErr w:type="spellStart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>Harmonisation</w:t>
      </w:r>
      <w:proofErr w:type="spellEnd"/>
      <w:r w:rsidRPr="008D2E7F">
        <w:rPr>
          <w:rFonts w:ascii="Sylfaen" w:eastAsia="Times New Roman" w:hAnsi="Sylfaen" w:cs="Sylfaen"/>
          <w:sz w:val="24"/>
          <w:szCs w:val="24"/>
          <w:lang w:eastAsia="x-none"/>
        </w:rPr>
        <w:t xml:space="preserve"> – ICH Q7 GMP). </w:t>
      </w:r>
    </w:p>
    <w:p w:rsidR="00275AEB" w:rsidRDefault="00275AEB" w:rsidP="008D2E7F">
      <w:pPr>
        <w:tabs>
          <w:tab w:val="left" w:pos="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60" w:lineRule="atLeast"/>
        <w:ind w:left="440" w:right="179"/>
        <w:jc w:val="center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bookmarkStart w:id="0" w:name="_GoBack"/>
      <w:bookmarkEnd w:id="0"/>
    </w:p>
    <w:sectPr w:rsidR="00275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C3" w:rsidRDefault="006B7AC3" w:rsidP="002C292C">
      <w:pPr>
        <w:spacing w:after="0" w:line="240" w:lineRule="auto"/>
      </w:pPr>
      <w:r>
        <w:separator/>
      </w:r>
    </w:p>
  </w:endnote>
  <w:endnote w:type="continuationSeparator" w:id="0">
    <w:p w:rsidR="006B7AC3" w:rsidRDefault="006B7AC3" w:rsidP="002C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2C" w:rsidRDefault="002C29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C292C" w:rsidTr="002C292C">
      <w:tc>
        <w:tcPr>
          <w:tcW w:w="5090" w:type="dxa"/>
          <w:shd w:val="clear" w:color="auto" w:fill="auto"/>
        </w:tcPr>
        <w:p w:rsidR="002C292C" w:rsidRPr="002C292C" w:rsidRDefault="002C292C" w:rsidP="002C292C">
          <w:pPr>
            <w:pStyle w:val="Footer"/>
            <w:spacing w:after="0" w:line="240" w:lineRule="auto"/>
            <w:rPr>
              <w:rFonts w:ascii="Sylfaen" w:hAnsi="Sylfaen"/>
              <w:noProof/>
              <w:sz w:val="16"/>
            </w:rPr>
          </w:pPr>
          <w:r w:rsidRPr="002C292C">
            <w:rPr>
              <w:rFonts w:ascii="Sylfaen" w:hAnsi="Sylfaen"/>
              <w:noProof/>
              <w:sz w:val="16"/>
            </w:rPr>
            <w:t>16 ნოემბერი 2010  საქართველოს მთავრობა  დადგენილება N 349</w:t>
          </w:r>
        </w:p>
      </w:tc>
      <w:tc>
        <w:tcPr>
          <w:tcW w:w="5090" w:type="dxa"/>
          <w:shd w:val="clear" w:color="auto" w:fill="auto"/>
        </w:tcPr>
        <w:p w:rsidR="002C292C" w:rsidRPr="002C292C" w:rsidRDefault="002C292C" w:rsidP="002C292C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2C292C">
            <w:rPr>
              <w:rFonts w:ascii="Sylfaen" w:hAnsi="Sylfaen"/>
              <w:noProof/>
              <w:sz w:val="16"/>
            </w:rPr>
            <w:t xml:space="preserve"> [ ამოღებულია ბაზიდან  : 22 სექტემბერი 2017 ]</w:t>
          </w:r>
        </w:p>
      </w:tc>
    </w:tr>
    <w:tr w:rsidR="002C292C" w:rsidTr="002C292C">
      <w:tc>
        <w:tcPr>
          <w:tcW w:w="5090" w:type="dxa"/>
          <w:shd w:val="clear" w:color="auto" w:fill="auto"/>
        </w:tcPr>
        <w:p w:rsidR="002C292C" w:rsidRDefault="002C292C" w:rsidP="002C292C">
          <w:pPr>
            <w:pStyle w:val="Footer"/>
            <w:spacing w:after="0" w:line="240" w:lineRule="auto"/>
          </w:pPr>
        </w:p>
      </w:tc>
      <w:tc>
        <w:tcPr>
          <w:tcW w:w="5090" w:type="dxa"/>
          <w:shd w:val="clear" w:color="auto" w:fill="auto"/>
        </w:tcPr>
        <w:p w:rsidR="002C292C" w:rsidRPr="002C292C" w:rsidRDefault="002C292C" w:rsidP="002C292C">
          <w:pPr>
            <w:pStyle w:val="Footer"/>
            <w:spacing w:after="0" w:line="240" w:lineRule="auto"/>
            <w:jc w:val="right"/>
            <w:rPr>
              <w:rFonts w:ascii="Sylfaen" w:hAnsi="Sylfaen"/>
              <w:noProof/>
              <w:sz w:val="16"/>
            </w:rPr>
          </w:pPr>
          <w:r w:rsidRPr="002C292C">
            <w:rPr>
              <w:rFonts w:ascii="Sylfaen" w:hAnsi="Sylfaen"/>
              <w:noProof/>
              <w:sz w:val="16"/>
            </w:rPr>
            <w:t xml:space="preserve">კოდიფიცირებული </w:t>
          </w:r>
        </w:p>
      </w:tc>
    </w:tr>
  </w:tbl>
  <w:p w:rsidR="002C292C" w:rsidRPr="002C292C" w:rsidRDefault="002C292C" w:rsidP="002C29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2C" w:rsidRDefault="002C29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C3" w:rsidRDefault="006B7AC3" w:rsidP="002C292C">
      <w:pPr>
        <w:spacing w:after="0" w:line="240" w:lineRule="auto"/>
      </w:pPr>
      <w:r>
        <w:separator/>
      </w:r>
    </w:p>
  </w:footnote>
  <w:footnote w:type="continuationSeparator" w:id="0">
    <w:p w:rsidR="006B7AC3" w:rsidRDefault="006B7AC3" w:rsidP="002C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2C" w:rsidRDefault="002C29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2C292C" w:rsidTr="002C292C">
      <w:tc>
        <w:tcPr>
          <w:tcW w:w="5090" w:type="dxa"/>
          <w:shd w:val="clear" w:color="auto" w:fill="auto"/>
        </w:tcPr>
        <w:p w:rsidR="002C292C" w:rsidRDefault="002C292C" w:rsidP="002C292C">
          <w:pPr>
            <w:pStyle w:val="Header"/>
            <w:spacing w:after="0" w:line="240" w:lineRule="auto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2C292C" w:rsidRDefault="002C292C" w:rsidP="002C292C">
          <w:pPr>
            <w:pStyle w:val="Header"/>
            <w:spacing w:after="0" w:line="240" w:lineRule="auto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B18F7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 w:rsidR="001B18F7">
              <w:rPr>
                <w:noProof/>
              </w:rPr>
              <w:t>1</w:t>
            </w:r>
          </w:fldSimple>
        </w:p>
      </w:tc>
    </w:tr>
  </w:tbl>
  <w:p w:rsidR="002C292C" w:rsidRPr="002C292C" w:rsidRDefault="002C292C" w:rsidP="002C29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92C" w:rsidRDefault="002C2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2C"/>
    <w:rsid w:val="001B18F7"/>
    <w:rsid w:val="001D7FD7"/>
    <w:rsid w:val="00275AEB"/>
    <w:rsid w:val="002C292C"/>
    <w:rsid w:val="006B7AC3"/>
    <w:rsid w:val="008D2E7F"/>
    <w:rsid w:val="00E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C2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92C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C2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92C"/>
    <w:rPr>
      <w:rFonts w:ascii="Calibri" w:hAnsi="Calibri" w:cs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2C2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92C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C2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92C"/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Base>C:\1\dadg\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Tea Jikia</cp:lastModifiedBy>
  <cp:revision>4</cp:revision>
  <dcterms:created xsi:type="dcterms:W3CDTF">2017-09-22T15:06:00Z</dcterms:created>
  <dcterms:modified xsi:type="dcterms:W3CDTF">2017-09-22T15:33:00Z</dcterms:modified>
</cp:coreProperties>
</file>